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0DA1" w14:textId="77777777" w:rsidR="003702D9" w:rsidRDefault="003702D9" w:rsidP="003107F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D629954" w14:textId="77777777" w:rsidR="004A0736" w:rsidRPr="004A0736" w:rsidRDefault="00B9338B" w:rsidP="004A0736">
      <w:pPr>
        <w:pStyle w:val="CM4"/>
        <w:spacing w:after="52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Violence/</w:t>
      </w:r>
      <w:r w:rsidR="006D599B">
        <w:rPr>
          <w:rFonts w:ascii="Arial" w:hAnsi="Arial" w:cs="Arial"/>
          <w:b/>
          <w:color w:val="000099"/>
        </w:rPr>
        <w:t>Aggression</w:t>
      </w:r>
      <w:r>
        <w:rPr>
          <w:rFonts w:ascii="Arial" w:hAnsi="Arial" w:cs="Arial"/>
          <w:b/>
          <w:color w:val="000099"/>
        </w:rPr>
        <w:t xml:space="preserve"> Assessment Checklist (VAC)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396"/>
        <w:gridCol w:w="6695"/>
      </w:tblGrid>
      <w:tr w:rsidR="00B9338B" w14:paraId="6C8B953B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AA0FC11" w14:textId="77777777"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Type of Behavior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F2D5C4" w14:textId="77777777"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Yes/No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AFFA5E1" w14:textId="77777777" w:rsidR="00B9338B" w:rsidRDefault="00B05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Descriptions (</w:t>
            </w:r>
            <w:r w:rsidR="00B9338B">
              <w:rPr>
                <w:b/>
                <w:sz w:val="19"/>
                <w:szCs w:val="19"/>
              </w:rPr>
              <w:t>any or all may be included)</w:t>
            </w:r>
          </w:p>
        </w:tc>
      </w:tr>
      <w:tr w:rsidR="00B9338B" w14:paraId="3CFB5A4C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93C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History of Violence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55EE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ADA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History of being physically aggressive towards a caregiver.</w:t>
            </w:r>
          </w:p>
        </w:tc>
      </w:tr>
      <w:tr w:rsidR="00B9338B" w14:paraId="66D90750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EBEE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Uncooperative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C688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044F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Easily annoyed or angered.  Unable to tolerate the presence of others.  Will not follow instructions.</w:t>
            </w:r>
          </w:p>
        </w:tc>
      </w:tr>
      <w:tr w:rsidR="00B9338B" w14:paraId="22868F75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863E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 Abuse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CDDE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338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 attacks, abuse, name calling, verbally comments uttered in a snarling, aggressive manner.</w:t>
            </w:r>
          </w:p>
        </w:tc>
      </w:tr>
      <w:tr w:rsidR="00B9338B" w14:paraId="1FE31A10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A3341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Hostile/Attacking Objects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CCFD7D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2552B7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Overtly loud or noisy, i.e. slams doors, shouts out when talking, etc.  An attack directed at an object, banging or smashing windows, kicking, banging, and head banging, smashing furniture.</w:t>
            </w:r>
          </w:p>
        </w:tc>
      </w:tr>
      <w:tr w:rsidR="00B9338B" w14:paraId="4532FD9D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6B9AA6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Threats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18AD0B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B3578F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verbal outburst which is more than just a raised voice; and where there is definite intent to intimidate or threaten another person.   A definite intent to physically threaten another person, i.e. raising of arm/leg, aggressive stance, making a fist, etc.</w:t>
            </w:r>
          </w:p>
        </w:tc>
      </w:tr>
      <w:tr w:rsidR="00B9338B" w14:paraId="0B4BE9B7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842C1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Assaultive/Combative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65D456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8FA222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 application of force or attack directed at an individual, i.e. kick, punch, spit, grabbing of clothing, use a weapon or weapon of opportunity, throwing items.</w:t>
            </w:r>
          </w:p>
        </w:tc>
      </w:tr>
      <w:tr w:rsidR="00B9338B" w14:paraId="33ECC8CB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D297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Type of Behavior exhibited by: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E524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Patient</w:t>
            </w:r>
          </w:p>
          <w:p w14:paraId="604B5A56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Others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14A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Document/describe behavior</w:t>
            </w:r>
          </w:p>
          <w:p w14:paraId="2ACDCAE0" w14:textId="6FC8158A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Specify Other (e.g. parent, spouse, </w:t>
            </w:r>
            <w:r w:rsidR="00B143A1">
              <w:rPr>
                <w:sz w:val="19"/>
                <w:szCs w:val="19"/>
              </w:rPr>
              <w:t>etc.</w:t>
            </w:r>
            <w:r>
              <w:rPr>
                <w:sz w:val="19"/>
                <w:szCs w:val="19"/>
              </w:rPr>
              <w:t>)</w:t>
            </w:r>
          </w:p>
        </w:tc>
      </w:tr>
      <w:tr w:rsidR="00B9338B" w14:paraId="2E8756D5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049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Known risk factors (i.e. wait times, pain level, fear)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082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factors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9B6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9338B" w14:paraId="46D445F1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1AE972" w14:textId="77777777"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Behavior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87A7981" w14:textId="77777777"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Level of Risk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D942174" w14:textId="77777777"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Intervention</w:t>
            </w:r>
          </w:p>
        </w:tc>
      </w:tr>
      <w:tr w:rsidR="00B9338B" w14:paraId="76155B73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8C107B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Observed Behavior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612809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49A394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intervention required</w:t>
            </w:r>
          </w:p>
        </w:tc>
      </w:tr>
      <w:tr w:rsidR="00B9338B" w14:paraId="1671ADB0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624031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History or Uncooperative or Verbal abuse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45638D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Moderate</w:t>
            </w:r>
          </w:p>
          <w:p w14:paraId="11090A91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(Intervention required)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E71732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Intervention or refer to policies and procedures</w:t>
            </w:r>
          </w:p>
        </w:tc>
      </w:tr>
      <w:tr w:rsidR="00B9338B" w14:paraId="7B64DA92" w14:textId="77777777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2220E838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 One (1) or more in shaded area or TWO (2) or more in Non-Shaded area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6379776C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HIGH</w:t>
            </w:r>
          </w:p>
          <w:p w14:paraId="45E74439" w14:textId="77777777"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(Preventative Measures Required)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54311E51" w14:textId="77777777"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Measures or refer to policies and procedures</w:t>
            </w:r>
          </w:p>
        </w:tc>
      </w:tr>
    </w:tbl>
    <w:p w14:paraId="67220860" w14:textId="77777777" w:rsidR="00B9338B" w:rsidRDefault="00B9338B" w:rsidP="00B9338B">
      <w:pPr>
        <w:rPr>
          <w:rFonts w:asciiTheme="minorHAnsi" w:hAnsiTheme="minorHAnsi" w:cstheme="minorBid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5141"/>
      </w:tblGrid>
      <w:tr w:rsidR="00B9338B" w14:paraId="13303427" w14:textId="77777777" w:rsidTr="00B9338B"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A8361A" w14:textId="77777777"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32"/>
                <w:szCs w:val="19"/>
              </w:rPr>
              <w:t>Risk of Violence</w:t>
            </w:r>
          </w:p>
        </w:tc>
      </w:tr>
      <w:tr w:rsidR="00B9338B" w14:paraId="3B8316B5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4D7231" w14:textId="77777777" w:rsidR="00B9338B" w:rsidRDefault="00B9338B">
            <w:pPr>
              <w:spacing w:after="0" w:line="240" w:lineRule="auto"/>
              <w:jc w:val="center"/>
              <w:rPr>
                <w:b/>
                <w:sz w:val="28"/>
                <w:szCs w:val="19"/>
              </w:rPr>
            </w:pPr>
            <w:r>
              <w:rPr>
                <w:b/>
                <w:sz w:val="28"/>
                <w:szCs w:val="19"/>
              </w:rPr>
              <w:t>Moderate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25229A38" w14:textId="77777777" w:rsidR="00B9338B" w:rsidRDefault="00B9338B">
            <w:pPr>
              <w:spacing w:after="0" w:line="240" w:lineRule="auto"/>
              <w:jc w:val="center"/>
              <w:rPr>
                <w:b/>
                <w:sz w:val="28"/>
                <w:szCs w:val="19"/>
              </w:rPr>
            </w:pPr>
            <w:r>
              <w:rPr>
                <w:b/>
                <w:sz w:val="28"/>
                <w:szCs w:val="19"/>
              </w:rPr>
              <w:t>High</w:t>
            </w:r>
          </w:p>
        </w:tc>
      </w:tr>
      <w:tr w:rsidR="00B9338B" w14:paraId="06C45F95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0AF8B8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House Supervisor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52F471F3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Contact Security (nights &amp; weekends) @*74 “Request presence”</w:t>
            </w:r>
          </w:p>
        </w:tc>
      </w:tr>
      <w:tr w:rsidR="00B9338B" w14:paraId="17A4B853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93849C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Contact Security (nights and weekends) @*74 “Potential risk of Violence”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54533853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Call 911 if behavior escalates</w:t>
            </w:r>
          </w:p>
        </w:tc>
      </w:tr>
      <w:tr w:rsidR="00B9338B" w14:paraId="2E2231FD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3FF868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Admitting and receiving department RN’s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222986B9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House Supervisor</w:t>
            </w:r>
          </w:p>
        </w:tc>
      </w:tr>
      <w:tr w:rsidR="00B9338B" w14:paraId="15A2E815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E47506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Reassess behavior and document triggers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076A5747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Triage to Seclusion room</w:t>
            </w:r>
          </w:p>
        </w:tc>
      </w:tr>
      <w:tr w:rsidR="00B9338B" w14:paraId="39F6435F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AE2454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Install Ying/Yang door magnet to signal caution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24B474EC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Provide frequent communication to patient</w:t>
            </w:r>
          </w:p>
        </w:tc>
      </w:tr>
      <w:tr w:rsidR="00B9338B" w14:paraId="2467ABFB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371D9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48B35F9B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all treating staff</w:t>
            </w:r>
          </w:p>
        </w:tc>
      </w:tr>
      <w:tr w:rsidR="00B9338B" w14:paraId="6B79F7B6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3D7A86" w14:textId="77777777" w:rsidR="00B9338B" w:rsidRDefault="007C7F69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0" wp14:anchorId="1BD6AB46" wp14:editId="1575566D">
                  <wp:simplePos x="0" y="0"/>
                  <wp:positionH relativeFrom="margin">
                    <wp:posOffset>854286</wp:posOffset>
                  </wp:positionH>
                  <wp:positionV relativeFrom="margin">
                    <wp:posOffset>-448945</wp:posOffset>
                  </wp:positionV>
                  <wp:extent cx="1558925" cy="1558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29924551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Monitor behavior frequently and document triggers</w:t>
            </w:r>
          </w:p>
        </w:tc>
      </w:tr>
      <w:tr w:rsidR="00B9338B" w14:paraId="5C0935C4" w14:textId="77777777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20DF4D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14:paraId="25237340" w14:textId="77777777"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Consider need for restraints as a last resort (physical and/or chemical)</w:t>
            </w:r>
          </w:p>
        </w:tc>
      </w:tr>
    </w:tbl>
    <w:p w14:paraId="68608009" w14:textId="77777777" w:rsidR="00B9338B" w:rsidRDefault="00B9338B" w:rsidP="00B9338B">
      <w:pPr>
        <w:rPr>
          <w:rFonts w:asciiTheme="minorHAnsi" w:hAnsiTheme="minorHAnsi" w:cstheme="minorBidi"/>
          <w:sz w:val="19"/>
          <w:szCs w:val="19"/>
        </w:rPr>
      </w:pPr>
    </w:p>
    <w:p w14:paraId="591CBF52" w14:textId="77777777" w:rsidR="00B9338B" w:rsidRDefault="00B9338B" w:rsidP="00B9338B">
      <w:pPr>
        <w:pStyle w:val="Footer"/>
        <w:rPr>
          <w:sz w:val="12"/>
          <w:szCs w:val="12"/>
        </w:rPr>
      </w:pPr>
    </w:p>
    <w:p w14:paraId="3EE495C4" w14:textId="77777777" w:rsidR="00B9338B" w:rsidRDefault="00B9338B" w:rsidP="00B9338B">
      <w:pPr>
        <w:pStyle w:val="Footer"/>
        <w:rPr>
          <w:sz w:val="12"/>
          <w:szCs w:val="12"/>
        </w:rPr>
      </w:pPr>
    </w:p>
    <w:p w14:paraId="62524609" w14:textId="77777777" w:rsidR="00B9338B" w:rsidRPr="007C7F69" w:rsidRDefault="007C7F69" w:rsidP="00B9338B">
      <w:pPr>
        <w:pStyle w:val="Footer"/>
        <w:rPr>
          <w:b/>
          <w:i/>
        </w:rPr>
      </w:pPr>
      <w:r w:rsidRPr="007C7F69">
        <w:rPr>
          <w:b/>
          <w:i/>
        </w:rPr>
        <w:t>Source:</w:t>
      </w:r>
    </w:p>
    <w:p w14:paraId="770C17B9" w14:textId="5ED19C85" w:rsidR="009B5BFF" w:rsidRDefault="00B9338B" w:rsidP="009B5BFF">
      <w:pPr>
        <w:autoSpaceDE w:val="0"/>
        <w:autoSpaceDN w:val="0"/>
        <w:adjustRightInd w:val="0"/>
        <w:spacing w:after="0"/>
      </w:pPr>
      <w:r w:rsidRPr="00B9338B">
        <w:t xml:space="preserve">Adapted from the </w:t>
      </w:r>
      <w:proofErr w:type="spellStart"/>
      <w:r w:rsidRPr="00B9338B">
        <w:t>Broset</w:t>
      </w:r>
      <w:proofErr w:type="spellEnd"/>
      <w:r w:rsidRPr="00B9338B">
        <w:t xml:space="preserve"> violence Checklist (R. Almvik &amp; </w:t>
      </w:r>
      <w:r w:rsidR="00372819" w:rsidRPr="00B9338B">
        <w:t>P. Woods</w:t>
      </w:r>
      <w:r w:rsidRPr="00B9338B">
        <w:t xml:space="preserve">, 2000): Alert System risk indicator </w:t>
      </w:r>
      <w:r w:rsidR="00372819" w:rsidRPr="00B9338B">
        <w:t>(R.</w:t>
      </w:r>
      <w:r w:rsidR="00372819">
        <w:t xml:space="preserve"> </w:t>
      </w:r>
      <w:r w:rsidRPr="00B9338B">
        <w:t>King et al, 2006) and</w:t>
      </w:r>
      <w:r w:rsidR="00372819">
        <w:t xml:space="preserve">; </w:t>
      </w:r>
      <w:r w:rsidRPr="00B9338B">
        <w:t>Correlates of accuracy in the assessment of psychiatric Inpatients’ risk of violence (McNeil</w:t>
      </w:r>
      <w:r w:rsidR="00372819">
        <w:t>, D.,</w:t>
      </w:r>
      <w:r w:rsidRPr="00B9338B">
        <w:t xml:space="preserve">&amp; Binder, </w:t>
      </w:r>
      <w:r w:rsidR="00372819">
        <w:t xml:space="preserve">R., </w:t>
      </w:r>
      <w:r w:rsidRPr="00B9338B">
        <w:t xml:space="preserve">1995)  Developed by </w:t>
      </w:r>
      <w:r w:rsidR="009B5BFF">
        <w:rPr>
          <w:rFonts w:asciiTheme="minorHAnsi" w:hAnsiTheme="minorHAnsi" w:cs="Calibri"/>
          <w:color w:val="000000"/>
        </w:rPr>
        <w:t>t</w:t>
      </w:r>
      <w:r w:rsidR="009B5BFF" w:rsidRPr="00D23A83">
        <w:rPr>
          <w:rFonts w:asciiTheme="minorHAnsi" w:hAnsiTheme="minorHAnsi" w:cs="Calibri"/>
          <w:color w:val="000000"/>
        </w:rPr>
        <w:t>he Public Services Health</w:t>
      </w:r>
      <w:r w:rsidR="009B5BFF">
        <w:rPr>
          <w:rFonts w:asciiTheme="minorHAnsi" w:hAnsiTheme="minorHAnsi" w:cs="Calibri"/>
          <w:color w:val="000000"/>
        </w:rPr>
        <w:t xml:space="preserve"> </w:t>
      </w:r>
      <w:r w:rsidR="009B5BFF" w:rsidRPr="00D23A83">
        <w:rPr>
          <w:rFonts w:asciiTheme="minorHAnsi" w:hAnsiTheme="minorHAnsi" w:cs="Calibri"/>
          <w:color w:val="000000"/>
        </w:rPr>
        <w:t>and Safety Association (PSHSA)</w:t>
      </w:r>
      <w:r w:rsidR="009B5BFF">
        <w:rPr>
          <w:rFonts w:asciiTheme="minorHAnsi" w:hAnsiTheme="minorHAnsi" w:cs="Calibri"/>
          <w:color w:val="000000"/>
        </w:rPr>
        <w:t>,</w:t>
      </w:r>
      <w:r w:rsidR="009B5BFF" w:rsidRPr="009B5BFF">
        <w:rPr>
          <w:rFonts w:asciiTheme="minorHAnsi" w:hAnsiTheme="minorHAnsi" w:cs="Calibri"/>
          <w:color w:val="000000"/>
        </w:rPr>
        <w:t xml:space="preserve"> </w:t>
      </w:r>
      <w:r w:rsidR="009B5BFF" w:rsidRPr="00D23A83">
        <w:rPr>
          <w:rFonts w:asciiTheme="minorHAnsi" w:hAnsiTheme="minorHAnsi" w:cs="Calibri"/>
          <w:color w:val="000000"/>
        </w:rPr>
        <w:t>Ontario, Canada</w:t>
      </w:r>
      <w:r w:rsidR="009B5BFF">
        <w:rPr>
          <w:rFonts w:asciiTheme="minorHAnsi" w:hAnsiTheme="minorHAnsi" w:cs="Calibri"/>
          <w:color w:val="000000"/>
        </w:rPr>
        <w:t>, 2010.</w:t>
      </w:r>
      <w:r w:rsidR="009B5BFF" w:rsidRPr="009B5BFF">
        <w:t xml:space="preserve"> </w:t>
      </w:r>
    </w:p>
    <w:p w14:paraId="131BCECA" w14:textId="77777777" w:rsidR="009B5BFF" w:rsidRDefault="009B5BFF" w:rsidP="00B9338B">
      <w:pPr>
        <w:pStyle w:val="Footer"/>
      </w:pPr>
    </w:p>
    <w:p w14:paraId="59C69C49" w14:textId="19554B54" w:rsidR="009B5BFF" w:rsidRPr="00D23A83" w:rsidRDefault="009B5BFF" w:rsidP="009B5BFF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  <w:b/>
          <w:kern w:val="36"/>
        </w:rPr>
        <w:t>Alternative Risk Assessment Tools from</w:t>
      </w:r>
      <w:r w:rsidRPr="009B5BFF">
        <w:rPr>
          <w:rFonts w:asciiTheme="minorHAnsi" w:hAnsiTheme="minorHAnsi" w:cs="Calibri"/>
          <w:color w:val="000000"/>
        </w:rPr>
        <w:t xml:space="preserve"> </w:t>
      </w:r>
      <w:r w:rsidRPr="009B5BFF">
        <w:rPr>
          <w:rFonts w:asciiTheme="minorHAnsi" w:hAnsiTheme="minorHAnsi" w:cs="Calibri"/>
          <w:b/>
          <w:bCs/>
          <w:color w:val="000000"/>
        </w:rPr>
        <w:t>PSHSA</w:t>
      </w:r>
      <w:r>
        <w:rPr>
          <w:rFonts w:asciiTheme="minorHAnsi" w:hAnsiTheme="minorHAnsi" w:cs="Calibri"/>
          <w:b/>
          <w:bCs/>
          <w:color w:val="000000"/>
        </w:rPr>
        <w:t>:</w:t>
      </w:r>
    </w:p>
    <w:p w14:paraId="4A755487" w14:textId="2FE38320" w:rsidR="00B143A1" w:rsidRPr="009B5BFF" w:rsidRDefault="00B143A1" w:rsidP="009B5B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  <w:r w:rsidRPr="009B5BFF">
        <w:rPr>
          <w:rFonts w:cs="Calibri-Bold"/>
          <w:b/>
          <w:bCs/>
          <w:color w:val="000000"/>
          <w:sz w:val="24"/>
          <w:szCs w:val="24"/>
        </w:rPr>
        <w:t xml:space="preserve">Workplace Violence Risk Assessment Toolkit for Acute Care (2017). </w:t>
      </w:r>
    </w:p>
    <w:p w14:paraId="1238AADE" w14:textId="77777777" w:rsidR="00B143A1" w:rsidRPr="009B5BFF" w:rsidRDefault="00B143A1" w:rsidP="009B5BFF">
      <w:pPr>
        <w:autoSpaceDE w:val="0"/>
        <w:autoSpaceDN w:val="0"/>
        <w:adjustRightInd w:val="0"/>
        <w:ind w:left="720"/>
        <w:rPr>
          <w:rFonts w:asciiTheme="minorHAnsi" w:hAnsiTheme="minorHAnsi" w:cs="Arial"/>
          <w:b/>
          <w:color w:val="0099FF"/>
          <w:u w:val="single"/>
        </w:rPr>
      </w:pPr>
      <w:r w:rsidRPr="009B5BFF">
        <w:rPr>
          <w:rFonts w:asciiTheme="minorHAnsi" w:hAnsiTheme="minorHAnsi" w:cs="Calibri"/>
          <w:color w:val="0099FF"/>
          <w:u w:val="single"/>
        </w:rPr>
        <w:t xml:space="preserve">https://workplace-violence.ca/tools/workplace-violence-risk-assessment-wvrat/ </w:t>
      </w:r>
    </w:p>
    <w:p w14:paraId="119D975F" w14:textId="77777777" w:rsidR="00B143A1" w:rsidRDefault="00B143A1" w:rsidP="00741061">
      <w:pPr>
        <w:pStyle w:val="Default"/>
        <w:autoSpaceDE/>
        <w:autoSpaceDN/>
        <w:adjustRightInd/>
        <w:spacing w:after="200" w:line="276" w:lineRule="auto"/>
        <w:jc w:val="both"/>
        <w:rPr>
          <w:rStyle w:val="Hyperlink"/>
          <w:rFonts w:asciiTheme="minorHAnsi" w:hAnsiTheme="minorHAnsi"/>
          <w:color w:val="auto"/>
        </w:rPr>
      </w:pPr>
      <w:bookmarkStart w:id="0" w:name="_GoBack"/>
      <w:bookmarkEnd w:id="0"/>
    </w:p>
    <w:p w14:paraId="5C195A27" w14:textId="77777777" w:rsidR="003E33AA" w:rsidRPr="000C3F67" w:rsidRDefault="006D599B" w:rsidP="00741061">
      <w:pPr>
        <w:pStyle w:val="Default"/>
        <w:autoSpaceDE/>
        <w:autoSpaceDN/>
        <w:adjustRightInd/>
        <w:spacing w:after="200" w:line="276" w:lineRule="auto"/>
        <w:jc w:val="both"/>
        <w:rPr>
          <w:rStyle w:val="Hyperlink"/>
          <w:rFonts w:asciiTheme="minorHAnsi" w:hAnsiTheme="minorHAnsi"/>
          <w:b/>
          <w:color w:val="auto"/>
        </w:rPr>
      </w:pPr>
      <w:r w:rsidRPr="000C3F67">
        <w:rPr>
          <w:rStyle w:val="Hyperlink"/>
          <w:rFonts w:asciiTheme="minorHAnsi" w:hAnsiTheme="minorHAnsi"/>
          <w:b/>
          <w:color w:val="auto"/>
        </w:rPr>
        <w:t xml:space="preserve">Note: This tool was customized and successfully used by 3 </w:t>
      </w:r>
      <w:r w:rsidR="00FC65DF" w:rsidRPr="000C3F67">
        <w:rPr>
          <w:rStyle w:val="Hyperlink"/>
          <w:rFonts w:asciiTheme="minorHAnsi" w:hAnsiTheme="minorHAnsi"/>
          <w:b/>
          <w:color w:val="auto"/>
        </w:rPr>
        <w:t>hospitals</w:t>
      </w:r>
      <w:r w:rsidRPr="000C3F67">
        <w:rPr>
          <w:rStyle w:val="Hyperlink"/>
          <w:rFonts w:asciiTheme="minorHAnsi" w:hAnsiTheme="minorHAnsi"/>
          <w:b/>
          <w:color w:val="auto"/>
        </w:rPr>
        <w:t xml:space="preserve"> in the WSI </w:t>
      </w:r>
      <w:r w:rsidR="00FC65DF" w:rsidRPr="000C3F67">
        <w:rPr>
          <w:rStyle w:val="Hyperlink"/>
          <w:rFonts w:asciiTheme="minorHAnsi" w:hAnsiTheme="minorHAnsi"/>
          <w:b/>
          <w:color w:val="auto"/>
        </w:rPr>
        <w:t>project</w:t>
      </w:r>
      <w:r w:rsidRPr="000C3F67">
        <w:rPr>
          <w:rStyle w:val="Hyperlink"/>
          <w:rFonts w:asciiTheme="minorHAnsi" w:hAnsiTheme="minorHAnsi"/>
          <w:b/>
          <w:color w:val="auto"/>
        </w:rPr>
        <w:t xml:space="preserve">. </w:t>
      </w:r>
    </w:p>
    <w:p w14:paraId="53A47AB6" w14:textId="77777777" w:rsidR="00C90155" w:rsidRDefault="006D599B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741061">
        <w:rPr>
          <w:rStyle w:val="Hyperlink"/>
          <w:rFonts w:asciiTheme="minorHAnsi" w:hAnsiTheme="minorHAnsi"/>
          <w:color w:val="auto"/>
          <w:u w:val="none"/>
        </w:rPr>
        <w:t xml:space="preserve">The tool was provided to staff </w:t>
      </w:r>
      <w:r w:rsidR="00741061" w:rsidRPr="00741061">
        <w:rPr>
          <w:rStyle w:val="Hyperlink"/>
          <w:rFonts w:asciiTheme="minorHAnsi" w:hAnsiTheme="minorHAnsi"/>
          <w:color w:val="auto"/>
          <w:u w:val="none"/>
        </w:rPr>
        <w:t xml:space="preserve">on 2-sided </w:t>
      </w:r>
      <w:r w:rsidRPr="00741061">
        <w:rPr>
          <w:rStyle w:val="Hyperlink"/>
          <w:rFonts w:asciiTheme="minorHAnsi" w:hAnsiTheme="minorHAnsi"/>
          <w:color w:val="auto"/>
          <w:u w:val="none"/>
        </w:rPr>
        <w:t>8”x</w:t>
      </w:r>
      <w:r w:rsidR="00741061" w:rsidRPr="0074106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741061">
        <w:rPr>
          <w:rStyle w:val="Hyperlink"/>
          <w:rFonts w:asciiTheme="minorHAnsi" w:hAnsiTheme="minorHAnsi"/>
          <w:color w:val="auto"/>
          <w:u w:val="none"/>
        </w:rPr>
        <w:t xml:space="preserve">5.5” </w:t>
      </w:r>
      <w:r w:rsidR="00741061" w:rsidRPr="00741061">
        <w:rPr>
          <w:rStyle w:val="Hyperlink"/>
          <w:rFonts w:asciiTheme="minorHAnsi" w:hAnsiTheme="minorHAnsi"/>
          <w:color w:val="auto"/>
          <w:u w:val="none"/>
        </w:rPr>
        <w:t xml:space="preserve">card stock and posted on computers used for charting.   </w:t>
      </w:r>
    </w:p>
    <w:p w14:paraId="68046B36" w14:textId="77777777" w:rsidR="00C90155" w:rsidRPr="00FC65DF" w:rsidRDefault="00C90155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FC65DF">
        <w:rPr>
          <w:rStyle w:val="Hyperlink"/>
          <w:rFonts w:asciiTheme="minorHAnsi" w:hAnsiTheme="minorHAnsi"/>
          <w:color w:val="auto"/>
          <w:u w:val="none"/>
        </w:rPr>
        <w:t>Staff received training on the tool during staff meetings, formal training, newsletters and poster boards.</w:t>
      </w:r>
    </w:p>
    <w:p w14:paraId="0C91E152" w14:textId="77777777" w:rsidR="00C90155" w:rsidRPr="00FC65DF" w:rsidRDefault="00C90155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FC65DF">
        <w:rPr>
          <w:rStyle w:val="Hyperlink"/>
          <w:rFonts w:asciiTheme="minorHAnsi" w:hAnsiTheme="minorHAnsi"/>
          <w:color w:val="auto"/>
          <w:u w:val="none"/>
        </w:rPr>
        <w:t>The tool was typically implemented in one unit/department first e.g., the Emergency department, and then refined based on staff feedback.</w:t>
      </w:r>
    </w:p>
    <w:p w14:paraId="537DAD14" w14:textId="77777777" w:rsidR="008C1A29" w:rsidRPr="00FC65DF" w:rsidRDefault="008C1A29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inorHAnsi" w:hAnsiTheme="minorHAnsi"/>
          <w:color w:val="auto"/>
        </w:rPr>
      </w:pPr>
      <w:r w:rsidRPr="00FC65DF">
        <w:rPr>
          <w:rFonts w:asciiTheme="minorHAnsi" w:hAnsiTheme="minorHAnsi"/>
          <w:color w:val="auto"/>
        </w:rPr>
        <w:t>One of the biggest challenges for the WIS hospitals was developing systems of communication between all stakeholders about a patient or visitor’s risk for violence. Integrating the assessment tool or any method of ‘</w:t>
      </w:r>
      <w:r w:rsidRPr="00FC65DF">
        <w:rPr>
          <w:rStyle w:val="Hyperlink"/>
          <w:rFonts w:asciiTheme="minorHAnsi" w:hAnsiTheme="minorHAnsi"/>
          <w:color w:val="auto"/>
          <w:u w:val="none"/>
        </w:rPr>
        <w:t>flagging’ a patient’s record related to a history of violence, into existing electronic health record (EHR) systems was challenging. So WSI hospitals that use the tool are</w:t>
      </w:r>
      <w:r w:rsidR="00741061" w:rsidRPr="00FC65DF">
        <w:rPr>
          <w:rStyle w:val="Hyperlink"/>
          <w:rFonts w:asciiTheme="minorHAnsi" w:hAnsiTheme="minorHAnsi"/>
          <w:color w:val="auto"/>
          <w:u w:val="none"/>
        </w:rPr>
        <w:t xml:space="preserve"> integrat</w:t>
      </w:r>
      <w:r w:rsidRPr="00FC65DF">
        <w:rPr>
          <w:rStyle w:val="Hyperlink"/>
          <w:rFonts w:asciiTheme="minorHAnsi" w:hAnsiTheme="minorHAnsi"/>
          <w:color w:val="auto"/>
          <w:u w:val="none"/>
        </w:rPr>
        <w:t>ing into the EHR</w:t>
      </w:r>
      <w:r w:rsidR="00741061" w:rsidRPr="00FC65DF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C90155" w:rsidRPr="00FC65DF">
        <w:rPr>
          <w:rStyle w:val="Hyperlink"/>
          <w:rFonts w:asciiTheme="minorHAnsi" w:hAnsiTheme="minorHAnsi"/>
          <w:color w:val="auto"/>
          <w:u w:val="none"/>
        </w:rPr>
        <w:t xml:space="preserve">as </w:t>
      </w:r>
      <w:r w:rsidR="00C90155" w:rsidRPr="00FC65DF">
        <w:rPr>
          <w:rFonts w:asciiTheme="minorHAnsi" w:hAnsiTheme="minorHAnsi"/>
          <w:color w:val="auto"/>
        </w:rPr>
        <w:t>software systems are upgraded</w:t>
      </w:r>
      <w:r w:rsidRPr="00FC65DF">
        <w:rPr>
          <w:rFonts w:asciiTheme="minorHAnsi" w:hAnsiTheme="minorHAnsi"/>
          <w:color w:val="auto"/>
        </w:rPr>
        <w:t xml:space="preserve"> in the next one-two years.</w:t>
      </w:r>
      <w:r w:rsidR="00C90155" w:rsidRPr="00FC65DF">
        <w:rPr>
          <w:rFonts w:asciiTheme="minorHAnsi" w:hAnsiTheme="minorHAnsi"/>
          <w:color w:val="auto"/>
        </w:rPr>
        <w:t xml:space="preserve"> </w:t>
      </w:r>
    </w:p>
    <w:p w14:paraId="1765AB24" w14:textId="77777777" w:rsidR="008C1A29" w:rsidRPr="00FC65DF" w:rsidRDefault="008C1A29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inorHAnsi" w:hAnsiTheme="minorHAnsi"/>
        </w:rPr>
      </w:pPr>
      <w:r w:rsidRPr="00FC65DF">
        <w:rPr>
          <w:rFonts w:asciiTheme="minorHAnsi" w:hAnsiTheme="minorHAnsi"/>
          <w:color w:val="auto"/>
        </w:rPr>
        <w:t>Some hospitals use a magnet on the outside of a patient’s room to indicate that the patients has a history of, or is at risk of violence or aggression.  One hospital uses a ‘</w:t>
      </w:r>
      <w:r w:rsidRPr="00FC65DF">
        <w:rPr>
          <w:rFonts w:asciiTheme="minorHAnsi" w:hAnsiTheme="minorHAnsi"/>
        </w:rPr>
        <w:t>Ying/Yang’ door magnet to signal caution to all staff who may have contact with a patient who is at risk for violence. This symbol was found to be less ‘alarming’ for a patient’s family or visitors than one that is more overt in identifying that the patient is violent</w:t>
      </w:r>
      <w:r w:rsidR="00FC65DF" w:rsidRPr="00FC65DF">
        <w:rPr>
          <w:rFonts w:asciiTheme="minorHAnsi" w:hAnsiTheme="minorHAnsi"/>
        </w:rPr>
        <w:t>.</w:t>
      </w:r>
    </w:p>
    <w:p w14:paraId="32633382" w14:textId="77777777" w:rsidR="00C90155" w:rsidRPr="00FC65DF" w:rsidRDefault="00C90155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FC65DF">
        <w:rPr>
          <w:rStyle w:val="Hyperlink"/>
          <w:rFonts w:asciiTheme="minorHAnsi" w:hAnsiTheme="minorHAnsi"/>
          <w:color w:val="auto"/>
          <w:u w:val="none"/>
        </w:rPr>
        <w:t xml:space="preserve">Unfortunately, due to software and computer system incompatibility, it is not always possible to share a patients EHR between a hospital and outpatient clinics, home health services and physician offices. In this case some hospitals communicate information about a patient’s history of violence via fax </w:t>
      </w:r>
      <w:r w:rsidR="008C1A29" w:rsidRPr="00FC65DF">
        <w:rPr>
          <w:rStyle w:val="Hyperlink"/>
          <w:rFonts w:asciiTheme="minorHAnsi" w:hAnsiTheme="minorHAnsi"/>
          <w:color w:val="auto"/>
          <w:u w:val="none"/>
        </w:rPr>
        <w:t xml:space="preserve">and/or phone </w:t>
      </w:r>
      <w:r w:rsidRPr="00FC65DF">
        <w:rPr>
          <w:rStyle w:val="Hyperlink"/>
          <w:rFonts w:asciiTheme="minorHAnsi" w:hAnsiTheme="minorHAnsi"/>
          <w:color w:val="auto"/>
          <w:u w:val="none"/>
        </w:rPr>
        <w:t xml:space="preserve">to external health care providers. </w:t>
      </w:r>
    </w:p>
    <w:p w14:paraId="22BBDB3E" w14:textId="77777777" w:rsidR="00741061" w:rsidRPr="00741061" w:rsidRDefault="000C3F67" w:rsidP="00C90155">
      <w:pPr>
        <w:pStyle w:val="Default"/>
        <w:autoSpaceDE/>
        <w:autoSpaceDN/>
        <w:adjustRightInd/>
        <w:spacing w:after="20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Interestingly, all employees showed an interest in knowing how to use this tool including environmental services staff and support service staff such as imaging and laboratory technicians.</w:t>
      </w:r>
    </w:p>
    <w:sectPr w:rsidR="00741061" w:rsidRPr="00741061" w:rsidSect="00C90155">
      <w:headerReference w:type="default" r:id="rId8"/>
      <w:footerReference w:type="default" r:id="rId9"/>
      <w:pgSz w:w="12240" w:h="16340"/>
      <w:pgMar w:top="374" w:right="1008" w:bottom="864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3FB4" w14:textId="77777777" w:rsidR="00A8464B" w:rsidRDefault="00A8464B" w:rsidP="003702D9">
      <w:pPr>
        <w:spacing w:after="0" w:line="240" w:lineRule="auto"/>
      </w:pPr>
      <w:r>
        <w:separator/>
      </w:r>
    </w:p>
  </w:endnote>
  <w:endnote w:type="continuationSeparator" w:id="0">
    <w:p w14:paraId="100D9E88" w14:textId="77777777" w:rsidR="00A8464B" w:rsidRDefault="00A8464B" w:rsidP="003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GDIO I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DOI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726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151914C" w14:textId="77777777" w:rsidR="008C1A29" w:rsidRPr="00DA655E" w:rsidRDefault="008C1A29" w:rsidP="00BF51B7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5a</w:t>
        </w:r>
        <w:r w:rsidRPr="00F14D4A">
          <w:rPr>
            <w:b/>
            <w:color w:val="FFFFFF" w:themeColor="background1"/>
          </w:rPr>
          <w:t xml:space="preserve">. </w:t>
        </w:r>
        <w:r w:rsidRPr="00F14D4A">
          <w:rPr>
            <w:b/>
            <w:color w:val="FFFFFF" w:themeColor="background1"/>
          </w:rPr>
          <w:fldChar w:fldCharType="begin"/>
        </w:r>
        <w:r w:rsidRPr="00F14D4A">
          <w:rPr>
            <w:b/>
            <w:color w:val="FFFFFF" w:themeColor="background1"/>
          </w:rPr>
          <w:instrText xml:space="preserve"> PAGE   \* MERGEFORMAT </w:instrText>
        </w:r>
        <w:r w:rsidRPr="00F14D4A">
          <w:rPr>
            <w:b/>
            <w:color w:val="FFFFFF" w:themeColor="background1"/>
          </w:rPr>
          <w:fldChar w:fldCharType="separate"/>
        </w:r>
        <w:r w:rsidR="00EC72C2">
          <w:rPr>
            <w:b/>
            <w:noProof/>
            <w:color w:val="FFFFFF" w:themeColor="background1"/>
          </w:rPr>
          <w:t>1</w:t>
        </w:r>
        <w:r w:rsidRPr="00F14D4A">
          <w:rPr>
            <w:b/>
            <w:noProof/>
            <w:color w:val="FFFFFF" w:themeColor="background1"/>
          </w:rPr>
          <w:fldChar w:fldCharType="end"/>
        </w:r>
      </w:p>
    </w:sdtContent>
  </w:sdt>
  <w:p w14:paraId="713FF5E9" w14:textId="77777777" w:rsidR="008C1A29" w:rsidRDefault="008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4611" w14:textId="77777777" w:rsidR="00A8464B" w:rsidRDefault="00A8464B" w:rsidP="003702D9">
      <w:pPr>
        <w:spacing w:after="0" w:line="240" w:lineRule="auto"/>
      </w:pPr>
      <w:r>
        <w:separator/>
      </w:r>
    </w:p>
  </w:footnote>
  <w:footnote w:type="continuationSeparator" w:id="0">
    <w:p w14:paraId="013184EA" w14:textId="77777777" w:rsidR="00A8464B" w:rsidRDefault="00A8464B" w:rsidP="0037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D94C" w14:textId="77777777" w:rsidR="008C1A29" w:rsidRPr="00302D2C" w:rsidRDefault="008C1A29" w:rsidP="00302D2C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9816F7"/>
    <w:multiLevelType w:val="hybridMultilevel"/>
    <w:tmpl w:val="86AE3D30"/>
    <w:lvl w:ilvl="0" w:tplc="B1800D38">
      <w:start w:val="1"/>
      <w:numFmt w:val="decimal"/>
      <w:lvlText w:val="%1."/>
      <w:lvlJc w:val="left"/>
      <w:pPr>
        <w:ind w:left="360" w:hanging="360"/>
      </w:pPr>
      <w:rPr>
        <w:rFonts w:ascii="DGDIO I+ Univers" w:hAnsi="DGDIO I+ Univers" w:cs="Times New Roman" w:hint="default"/>
        <w:b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72237"/>
    <w:multiLevelType w:val="hybridMultilevel"/>
    <w:tmpl w:val="9000DA98"/>
    <w:lvl w:ilvl="0" w:tplc="B8307A9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1D2F3BE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53C89F66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B3485A9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7206C3A0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55400228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1BB2CC68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270BFAA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71C4CC8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2" w15:restartNumberingAfterBreak="0">
    <w:nsid w:val="0DE11B02"/>
    <w:multiLevelType w:val="hybridMultilevel"/>
    <w:tmpl w:val="C6A07E9C"/>
    <w:lvl w:ilvl="0" w:tplc="8C7E3206">
      <w:numFmt w:val="bullet"/>
      <w:lvlText w:val="-"/>
      <w:lvlJc w:val="left"/>
      <w:pPr>
        <w:ind w:left="201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865C20E0">
      <w:numFmt w:val="bullet"/>
      <w:lvlText w:val="•"/>
      <w:lvlJc w:val="left"/>
      <w:pPr>
        <w:ind w:left="532" w:hanging="99"/>
      </w:pPr>
      <w:rPr>
        <w:rFonts w:hint="default"/>
      </w:rPr>
    </w:lvl>
    <w:lvl w:ilvl="2" w:tplc="7350659E">
      <w:numFmt w:val="bullet"/>
      <w:lvlText w:val="•"/>
      <w:lvlJc w:val="left"/>
      <w:pPr>
        <w:ind w:left="864" w:hanging="99"/>
      </w:pPr>
      <w:rPr>
        <w:rFonts w:hint="default"/>
      </w:rPr>
    </w:lvl>
    <w:lvl w:ilvl="3" w:tplc="D2D82AF6">
      <w:numFmt w:val="bullet"/>
      <w:lvlText w:val="•"/>
      <w:lvlJc w:val="left"/>
      <w:pPr>
        <w:ind w:left="1196" w:hanging="99"/>
      </w:pPr>
      <w:rPr>
        <w:rFonts w:hint="default"/>
      </w:rPr>
    </w:lvl>
    <w:lvl w:ilvl="4" w:tplc="8B4C8B60">
      <w:numFmt w:val="bullet"/>
      <w:lvlText w:val="•"/>
      <w:lvlJc w:val="left"/>
      <w:pPr>
        <w:ind w:left="1528" w:hanging="99"/>
      </w:pPr>
      <w:rPr>
        <w:rFonts w:hint="default"/>
      </w:rPr>
    </w:lvl>
    <w:lvl w:ilvl="5" w:tplc="5EFC7C42">
      <w:numFmt w:val="bullet"/>
      <w:lvlText w:val="•"/>
      <w:lvlJc w:val="left"/>
      <w:pPr>
        <w:ind w:left="1860" w:hanging="99"/>
      </w:pPr>
      <w:rPr>
        <w:rFonts w:hint="default"/>
      </w:rPr>
    </w:lvl>
    <w:lvl w:ilvl="6" w:tplc="5C6629DC">
      <w:numFmt w:val="bullet"/>
      <w:lvlText w:val="•"/>
      <w:lvlJc w:val="left"/>
      <w:pPr>
        <w:ind w:left="2192" w:hanging="99"/>
      </w:pPr>
      <w:rPr>
        <w:rFonts w:hint="default"/>
      </w:rPr>
    </w:lvl>
    <w:lvl w:ilvl="7" w:tplc="54C2ECD8">
      <w:numFmt w:val="bullet"/>
      <w:lvlText w:val="•"/>
      <w:lvlJc w:val="left"/>
      <w:pPr>
        <w:ind w:left="2524" w:hanging="99"/>
      </w:pPr>
      <w:rPr>
        <w:rFonts w:hint="default"/>
      </w:rPr>
    </w:lvl>
    <w:lvl w:ilvl="8" w:tplc="CC429D3C">
      <w:numFmt w:val="bullet"/>
      <w:lvlText w:val="•"/>
      <w:lvlJc w:val="left"/>
      <w:pPr>
        <w:ind w:left="2857" w:hanging="99"/>
      </w:pPr>
      <w:rPr>
        <w:rFonts w:hint="default"/>
      </w:rPr>
    </w:lvl>
  </w:abstractNum>
  <w:abstractNum w:abstractNumId="3" w15:restartNumberingAfterBreak="0">
    <w:nsid w:val="140B18FE"/>
    <w:multiLevelType w:val="hybridMultilevel"/>
    <w:tmpl w:val="F1D289CC"/>
    <w:lvl w:ilvl="0" w:tplc="C1DEDCEA">
      <w:start w:val="1"/>
      <w:numFmt w:val="lowerLetter"/>
      <w:lvlText w:val="%1."/>
      <w:lvlJc w:val="left"/>
      <w:pPr>
        <w:ind w:left="1660" w:hanging="360"/>
        <w:jc w:val="right"/>
      </w:pPr>
      <w:rPr>
        <w:rFonts w:ascii="Book Antiqua" w:eastAsia="Book Antiqua" w:hAnsi="Book Antiqua" w:hint="default"/>
        <w:b/>
        <w:bCs/>
        <w:spacing w:val="-2"/>
        <w:w w:val="100"/>
        <w:sz w:val="24"/>
        <w:szCs w:val="24"/>
      </w:rPr>
    </w:lvl>
    <w:lvl w:ilvl="1" w:tplc="9A8EC9C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E1DC39D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29CD4A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2F7E6E6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A58C8A8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8D0C900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81B6B98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C4E0623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4" w15:restartNumberingAfterBreak="0">
    <w:nsid w:val="23C74B8A"/>
    <w:multiLevelType w:val="hybridMultilevel"/>
    <w:tmpl w:val="4D984A96"/>
    <w:lvl w:ilvl="0" w:tplc="EFF2A75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D9C1F3C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BBCC23A2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639A7EA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E6805562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0C1CF960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8E8AB432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B24BA8E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90AA73B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5" w15:restartNumberingAfterBreak="0">
    <w:nsid w:val="3E5F0739"/>
    <w:multiLevelType w:val="hybridMultilevel"/>
    <w:tmpl w:val="9450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01B18"/>
    <w:multiLevelType w:val="hybridMultilevel"/>
    <w:tmpl w:val="5D1A3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A0D9E"/>
    <w:multiLevelType w:val="hybridMultilevel"/>
    <w:tmpl w:val="4A3432E0"/>
    <w:lvl w:ilvl="0" w:tplc="10AACB5A">
      <w:start w:val="1"/>
      <w:numFmt w:val="upperLetter"/>
      <w:lvlText w:val="%1"/>
      <w:lvlJc w:val="left"/>
      <w:pPr>
        <w:ind w:left="2843" w:hanging="274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1042086">
      <w:start w:val="1"/>
      <w:numFmt w:val="bullet"/>
      <w:lvlText w:val="•"/>
      <w:lvlJc w:val="left"/>
      <w:pPr>
        <w:ind w:left="3442" w:hanging="2744"/>
      </w:pPr>
      <w:rPr>
        <w:rFonts w:hint="default"/>
      </w:rPr>
    </w:lvl>
    <w:lvl w:ilvl="2" w:tplc="F8D22CE0">
      <w:start w:val="1"/>
      <w:numFmt w:val="bullet"/>
      <w:lvlText w:val="•"/>
      <w:lvlJc w:val="left"/>
      <w:pPr>
        <w:ind w:left="4044" w:hanging="2744"/>
      </w:pPr>
      <w:rPr>
        <w:rFonts w:hint="default"/>
      </w:rPr>
    </w:lvl>
    <w:lvl w:ilvl="3" w:tplc="F8B268C6">
      <w:start w:val="1"/>
      <w:numFmt w:val="bullet"/>
      <w:lvlText w:val="•"/>
      <w:lvlJc w:val="left"/>
      <w:pPr>
        <w:ind w:left="4646" w:hanging="2744"/>
      </w:pPr>
      <w:rPr>
        <w:rFonts w:hint="default"/>
      </w:rPr>
    </w:lvl>
    <w:lvl w:ilvl="4" w:tplc="160C3F34">
      <w:start w:val="1"/>
      <w:numFmt w:val="bullet"/>
      <w:lvlText w:val="•"/>
      <w:lvlJc w:val="left"/>
      <w:pPr>
        <w:ind w:left="5248" w:hanging="2744"/>
      </w:pPr>
      <w:rPr>
        <w:rFonts w:hint="default"/>
      </w:rPr>
    </w:lvl>
    <w:lvl w:ilvl="5" w:tplc="37A04900">
      <w:start w:val="1"/>
      <w:numFmt w:val="bullet"/>
      <w:lvlText w:val="•"/>
      <w:lvlJc w:val="left"/>
      <w:pPr>
        <w:ind w:left="5850" w:hanging="2744"/>
      </w:pPr>
      <w:rPr>
        <w:rFonts w:hint="default"/>
      </w:rPr>
    </w:lvl>
    <w:lvl w:ilvl="6" w:tplc="DACC4770">
      <w:start w:val="1"/>
      <w:numFmt w:val="bullet"/>
      <w:lvlText w:val="•"/>
      <w:lvlJc w:val="left"/>
      <w:pPr>
        <w:ind w:left="6452" w:hanging="2744"/>
      </w:pPr>
      <w:rPr>
        <w:rFonts w:hint="default"/>
      </w:rPr>
    </w:lvl>
    <w:lvl w:ilvl="7" w:tplc="F11A3984">
      <w:start w:val="1"/>
      <w:numFmt w:val="bullet"/>
      <w:lvlText w:val="•"/>
      <w:lvlJc w:val="left"/>
      <w:pPr>
        <w:ind w:left="7054" w:hanging="2744"/>
      </w:pPr>
      <w:rPr>
        <w:rFonts w:hint="default"/>
      </w:rPr>
    </w:lvl>
    <w:lvl w:ilvl="8" w:tplc="F792622A">
      <w:start w:val="1"/>
      <w:numFmt w:val="bullet"/>
      <w:lvlText w:val="•"/>
      <w:lvlJc w:val="left"/>
      <w:pPr>
        <w:ind w:left="7656" w:hanging="274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F7"/>
    <w:rsid w:val="000A3F30"/>
    <w:rsid w:val="000C3F67"/>
    <w:rsid w:val="001663F2"/>
    <w:rsid w:val="00210CEF"/>
    <w:rsid w:val="00225D4D"/>
    <w:rsid w:val="00235935"/>
    <w:rsid w:val="002376DF"/>
    <w:rsid w:val="00301664"/>
    <w:rsid w:val="00302D2C"/>
    <w:rsid w:val="003107F7"/>
    <w:rsid w:val="003702D9"/>
    <w:rsid w:val="00372819"/>
    <w:rsid w:val="003A2ED7"/>
    <w:rsid w:val="003E33AA"/>
    <w:rsid w:val="003E518C"/>
    <w:rsid w:val="003F66F8"/>
    <w:rsid w:val="004A0736"/>
    <w:rsid w:val="00513587"/>
    <w:rsid w:val="00595BB1"/>
    <w:rsid w:val="0069682D"/>
    <w:rsid w:val="006D599B"/>
    <w:rsid w:val="006F0363"/>
    <w:rsid w:val="00741061"/>
    <w:rsid w:val="00752342"/>
    <w:rsid w:val="007772EF"/>
    <w:rsid w:val="007C7F69"/>
    <w:rsid w:val="0080108A"/>
    <w:rsid w:val="008020D1"/>
    <w:rsid w:val="008C11B6"/>
    <w:rsid w:val="008C1A29"/>
    <w:rsid w:val="009B42A6"/>
    <w:rsid w:val="009B5BFF"/>
    <w:rsid w:val="009D2A77"/>
    <w:rsid w:val="00A03FCD"/>
    <w:rsid w:val="00A20E00"/>
    <w:rsid w:val="00A35CD6"/>
    <w:rsid w:val="00A8464B"/>
    <w:rsid w:val="00B00133"/>
    <w:rsid w:val="00B05945"/>
    <w:rsid w:val="00B107B3"/>
    <w:rsid w:val="00B143A1"/>
    <w:rsid w:val="00B9338B"/>
    <w:rsid w:val="00BD7ED4"/>
    <w:rsid w:val="00BF51B7"/>
    <w:rsid w:val="00C364C3"/>
    <w:rsid w:val="00C44F6D"/>
    <w:rsid w:val="00C90155"/>
    <w:rsid w:val="00C903CE"/>
    <w:rsid w:val="00C96CA4"/>
    <w:rsid w:val="00CA5438"/>
    <w:rsid w:val="00CC52E9"/>
    <w:rsid w:val="00CE4EF9"/>
    <w:rsid w:val="00D205DC"/>
    <w:rsid w:val="00D77351"/>
    <w:rsid w:val="00DB5CED"/>
    <w:rsid w:val="00DD0DA6"/>
    <w:rsid w:val="00DD121A"/>
    <w:rsid w:val="00E061C0"/>
    <w:rsid w:val="00E07676"/>
    <w:rsid w:val="00EA2BAE"/>
    <w:rsid w:val="00EB09FB"/>
    <w:rsid w:val="00EB7D38"/>
    <w:rsid w:val="00EC72C2"/>
    <w:rsid w:val="00ED0BB3"/>
    <w:rsid w:val="00ED51E1"/>
    <w:rsid w:val="00EE625E"/>
    <w:rsid w:val="00F02E7A"/>
    <w:rsid w:val="00F14D4A"/>
    <w:rsid w:val="00FC5EEE"/>
    <w:rsid w:val="00FC65DF"/>
    <w:rsid w:val="00FD605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1CF0"/>
  <w15:chartTrackingRefBased/>
  <w15:docId w15:val="{F8497588-4DAC-4BD0-AA99-F8B6B5D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FF"/>
    <w:pPr>
      <w:spacing w:after="200" w:line="276" w:lineRule="auto"/>
      <w:ind w:left="0" w:firstLine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107F7"/>
    <w:pPr>
      <w:widowControl w:val="0"/>
      <w:spacing w:after="0" w:line="240" w:lineRule="auto"/>
      <w:ind w:left="240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07F7"/>
    <w:pPr>
      <w:widowControl w:val="0"/>
      <w:spacing w:after="0" w:line="240" w:lineRule="auto"/>
      <w:ind w:left="1520" w:hanging="360"/>
      <w:outlineLvl w:val="1"/>
    </w:pPr>
    <w:rPr>
      <w:rFonts w:ascii="Book Antiqua" w:eastAsia="Book Antiqua" w:hAnsi="Book Antiqua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7F7"/>
    <w:pPr>
      <w:autoSpaceDE w:val="0"/>
      <w:autoSpaceDN w:val="0"/>
      <w:adjustRightInd w:val="0"/>
      <w:spacing w:after="0"/>
      <w:ind w:left="0" w:firstLine="0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107F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07F7"/>
    <w:rPr>
      <w:rFonts w:ascii="Book Antiqua" w:eastAsia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7F7"/>
    <w:pPr>
      <w:widowControl w:val="0"/>
      <w:spacing w:after="0" w:line="240" w:lineRule="auto"/>
      <w:ind w:left="1520" w:hanging="360"/>
    </w:pPr>
    <w:rPr>
      <w:rFonts w:ascii="Book Antiqua" w:eastAsia="Book Antiqua" w:hAnsi="Book Antiqu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107F7"/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1C0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61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D9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10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18C"/>
    <w:rPr>
      <w:color w:val="808080"/>
      <w:shd w:val="clear" w:color="auto" w:fill="E6E6E6"/>
    </w:rPr>
  </w:style>
  <w:style w:type="paragraph" w:customStyle="1" w:styleId="CM4">
    <w:name w:val="CM4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0736"/>
    <w:pPr>
      <w:widowControl w:val="0"/>
      <w:spacing w:line="246" w:lineRule="atLeast"/>
    </w:pPr>
    <w:rPr>
      <w:rFonts w:ascii="DGDOI D+ Univers" w:eastAsia="Times New Roman" w:hAnsi="DGDOI D+ Univer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styleId="NoSpacing">
    <w:name w:val="No Spacing"/>
    <w:uiPriority w:val="1"/>
    <w:qFormat/>
    <w:rsid w:val="004A0736"/>
    <w:pPr>
      <w:spacing w:after="0"/>
      <w:ind w:left="0"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Enos</cp:lastModifiedBy>
  <cp:revision>3</cp:revision>
  <dcterms:created xsi:type="dcterms:W3CDTF">2020-03-24T00:51:00Z</dcterms:created>
  <dcterms:modified xsi:type="dcterms:W3CDTF">2020-03-24T01:20:00Z</dcterms:modified>
</cp:coreProperties>
</file>